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6BAAD" w14:textId="41ED9E4C" w:rsidR="00EE24FB" w:rsidRPr="00CB5EE9" w:rsidRDefault="00EE24FB" w:rsidP="00EE24FB">
      <w:pPr>
        <w:pStyle w:val="Header"/>
        <w:tabs>
          <w:tab w:val="right" w:pos="9639"/>
        </w:tabs>
        <w:rPr>
          <w:bCs/>
          <w:i/>
          <w:noProof w:val="0"/>
          <w:sz w:val="24"/>
          <w:szCs w:val="24"/>
          <w:lang w:val="en-US"/>
        </w:rPr>
      </w:pPr>
      <w:bookmarkStart w:id="0" w:name="_Hlk516749590"/>
      <w:r w:rsidRPr="00CB5EE9">
        <w:rPr>
          <w:bCs/>
          <w:noProof w:val="0"/>
          <w:sz w:val="24"/>
          <w:szCs w:val="24"/>
          <w:lang w:val="en-US"/>
        </w:rPr>
        <w:t>3GPP TSG-RAN WG2 Meeting #103bis</w:t>
      </w:r>
      <w:r w:rsidRPr="00CB5EE9">
        <w:rPr>
          <w:bCs/>
          <w:noProof w:val="0"/>
          <w:sz w:val="24"/>
          <w:szCs w:val="24"/>
          <w:lang w:val="en-US"/>
        </w:rPr>
        <w:tab/>
      </w:r>
      <w:r w:rsidR="008667DB" w:rsidRPr="008667DB">
        <w:rPr>
          <w:bCs/>
          <w:noProof w:val="0"/>
          <w:sz w:val="24"/>
          <w:szCs w:val="24"/>
          <w:lang w:val="en-US"/>
        </w:rPr>
        <w:t>R2-1814999</w:t>
      </w:r>
    </w:p>
    <w:p w14:paraId="231362B2" w14:textId="2F345F82" w:rsidR="00CD4C7B" w:rsidRPr="00B266B0" w:rsidRDefault="00EE24FB" w:rsidP="00EE24FB">
      <w:pPr>
        <w:pStyle w:val="Header"/>
        <w:tabs>
          <w:tab w:val="right" w:pos="9639"/>
        </w:tabs>
        <w:rPr>
          <w:bCs/>
          <w:noProof w:val="0"/>
          <w:sz w:val="24"/>
          <w:szCs w:val="24"/>
        </w:rPr>
      </w:pPr>
      <w:r w:rsidRPr="00CB5EE9">
        <w:rPr>
          <w:rFonts w:eastAsia="SimSun"/>
          <w:noProof w:val="0"/>
          <w:sz w:val="24"/>
          <w:szCs w:val="24"/>
          <w:lang w:val="en-US" w:eastAsia="zh-CN"/>
        </w:rPr>
        <w:t>Chengdu, China, 08 - 12 October 2018</w:t>
      </w:r>
      <w:r w:rsidR="00364B41">
        <w:rPr>
          <w:rFonts w:eastAsia="SimSun"/>
          <w:noProof w:val="0"/>
          <w:sz w:val="24"/>
          <w:szCs w:val="24"/>
          <w:lang w:eastAsia="zh-CN"/>
        </w:rPr>
        <w:tab/>
      </w:r>
      <w:r w:rsidR="006A3699" w:rsidRPr="006A3699">
        <w:rPr>
          <w:rFonts w:eastAsia="SimSun"/>
          <w:i/>
          <w:noProof w:val="0"/>
          <w:sz w:val="24"/>
          <w:szCs w:val="24"/>
          <w:lang w:eastAsia="zh-CN"/>
        </w:rPr>
        <w:t xml:space="preserve">Resubmission of </w:t>
      </w:r>
      <w:r w:rsidRPr="00EE24FB">
        <w:rPr>
          <w:bCs/>
          <w:i/>
          <w:noProof w:val="0"/>
          <w:sz w:val="24"/>
          <w:szCs w:val="24"/>
        </w:rPr>
        <w:t>R2-1812303</w:t>
      </w:r>
    </w:p>
    <w:bookmarkEnd w:id="0"/>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79467E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12BFF" w:rsidRPr="008667DB">
        <w:rPr>
          <w:rFonts w:cs="Arial"/>
          <w:b/>
          <w:bCs/>
          <w:sz w:val="24"/>
          <w:lang w:eastAsia="ja-JP"/>
        </w:rPr>
        <w:t>11</w:t>
      </w:r>
      <w:r w:rsidR="002747EC" w:rsidRPr="008667DB">
        <w:rPr>
          <w:rFonts w:cs="Arial"/>
          <w:b/>
          <w:bCs/>
          <w:sz w:val="24"/>
          <w:lang w:eastAsia="ja-JP"/>
        </w:rPr>
        <w:t>.</w:t>
      </w:r>
      <w:r w:rsidR="00512BFF" w:rsidRPr="008667DB">
        <w:rPr>
          <w:rFonts w:cs="Arial"/>
          <w:b/>
          <w:bCs/>
          <w:sz w:val="24"/>
          <w:lang w:eastAsia="ja-JP"/>
        </w:rPr>
        <w:t>1</w:t>
      </w:r>
      <w:r w:rsidR="002747EC" w:rsidRPr="008667DB">
        <w:rPr>
          <w:rFonts w:cs="Arial"/>
          <w:b/>
          <w:bCs/>
          <w:sz w:val="24"/>
          <w:lang w:eastAsia="ja-JP"/>
        </w:rPr>
        <w:t>.</w:t>
      </w:r>
      <w:r w:rsidR="00512BFF" w:rsidRPr="008667DB">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7BD0C2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66D71">
        <w:rPr>
          <w:rFonts w:ascii="Arial" w:hAnsi="Arial" w:cs="Arial"/>
          <w:b/>
          <w:bCs/>
          <w:sz w:val="24"/>
        </w:rPr>
        <w:t>Adaptation layer in IAB MT</w:t>
      </w:r>
    </w:p>
    <w:p w14:paraId="3AC3A0B1" w14:textId="0E39600D"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12BFF" w:rsidRPr="00512BFF">
        <w:rPr>
          <w:rFonts w:ascii="Arial" w:hAnsi="Arial" w:cs="Arial"/>
          <w:b/>
          <w:bCs/>
          <w:sz w:val="24"/>
        </w:rPr>
        <w:t xml:space="preserve">FS_NR_IAB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512BFF">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8F18D9D" w14:textId="37C7F2A2" w:rsidR="00A2106F" w:rsidRDefault="000140D4" w:rsidP="0098282D">
      <w:r>
        <w:t xml:space="preserve">In [1] it was captured in section 8.2.2 that </w:t>
      </w:r>
      <w:r w:rsidR="001F6739">
        <w:t>“</w:t>
      </w:r>
      <w:r w:rsidR="001F6739" w:rsidRPr="001F6739">
        <w:t>While RLC channels serving for backhauling include the adaptation layer, it is FSS if the adaptation layer is also included in IAB-node access links (adapt is dashed in Figure 8.2-2).</w:t>
      </w:r>
      <w:r w:rsidR="001F6739">
        <w:t>” For CP alternatives depicted on the figures in section 8.3.4 it is also mentioned that: “On the IAB-node’s access link, the adaptation layer may or may not be included.”</w:t>
      </w:r>
    </w:p>
    <w:p w14:paraId="7313C65A" w14:textId="52C1BAF6" w:rsidR="0098282D" w:rsidRPr="00AC1B81" w:rsidRDefault="001F6739" w:rsidP="0098282D">
      <w:r>
        <w:t>This contribution attempts to resolve this FFS.</w:t>
      </w:r>
    </w:p>
    <w:p w14:paraId="127ACA6D" w14:textId="1EAD89C7" w:rsidR="00CD4C7B" w:rsidRPr="00A2106F" w:rsidRDefault="00CD4C7B" w:rsidP="00CD4C7B">
      <w:pPr>
        <w:pStyle w:val="Heading1"/>
      </w:pPr>
      <w:r w:rsidRPr="00A2106F">
        <w:t>2</w:t>
      </w:r>
      <w:r w:rsidRPr="00A2106F">
        <w:tab/>
      </w:r>
      <w:r w:rsidR="00F12D9A">
        <w:t>Discussion</w:t>
      </w:r>
    </w:p>
    <w:p w14:paraId="0D296AE9" w14:textId="53DEB3EF" w:rsidR="00B95A62" w:rsidRDefault="00F1030B" w:rsidP="00F12D9A">
      <w:r w:rsidRPr="00F1030B">
        <w:t>Th</w:t>
      </w:r>
      <w:r>
        <w:t xml:space="preserve">is aspect was shortly discussed, but not concluded during the e-mail discussion mentioned above. </w:t>
      </w:r>
      <w:r w:rsidR="00924F1A">
        <w:t>In the table below</w:t>
      </w:r>
      <w:r w:rsidR="008667DB">
        <w:t>,</w:t>
      </w:r>
      <w:bookmarkStart w:id="1" w:name="_GoBack"/>
      <w:bookmarkEnd w:id="1"/>
      <w:r w:rsidR="00924F1A">
        <w:t xml:space="preserve"> we summarize pros and cons of </w:t>
      </w:r>
      <w:r>
        <w:t>having adaptation layer always included in the serving IAB node</w:t>
      </w:r>
      <w:r w:rsidR="00924F1A">
        <w:t>, some of which were also indicated during the course of the aforementioned e-mail discussion</w:t>
      </w:r>
      <w:r>
        <w:t>:</w:t>
      </w:r>
    </w:p>
    <w:tbl>
      <w:tblPr>
        <w:tblStyle w:val="TableGrid"/>
        <w:tblW w:w="0" w:type="auto"/>
        <w:tblLook w:val="04A0" w:firstRow="1" w:lastRow="0" w:firstColumn="1" w:lastColumn="0" w:noHBand="0" w:noVBand="1"/>
      </w:tblPr>
      <w:tblGrid>
        <w:gridCol w:w="4815"/>
        <w:gridCol w:w="4816"/>
      </w:tblGrid>
      <w:tr w:rsidR="00F1030B" w14:paraId="4D8CE61C" w14:textId="77777777" w:rsidTr="00F1030B">
        <w:tc>
          <w:tcPr>
            <w:tcW w:w="4815" w:type="dxa"/>
          </w:tcPr>
          <w:p w14:paraId="2718D07B" w14:textId="52087E1F" w:rsidR="00F1030B" w:rsidRDefault="00F1030B" w:rsidP="00F1030B">
            <w:pPr>
              <w:jc w:val="center"/>
            </w:pPr>
            <w:r>
              <w:t>Adaptation layer present in the serving IAB node</w:t>
            </w:r>
          </w:p>
        </w:tc>
        <w:tc>
          <w:tcPr>
            <w:tcW w:w="4816" w:type="dxa"/>
          </w:tcPr>
          <w:p w14:paraId="7E02D406" w14:textId="0E36E868" w:rsidR="00F1030B" w:rsidRDefault="00F1030B" w:rsidP="00F1030B">
            <w:pPr>
              <w:jc w:val="center"/>
            </w:pPr>
            <w:r>
              <w:t>Adaptation layer not present in the serving IAB node</w:t>
            </w:r>
          </w:p>
        </w:tc>
      </w:tr>
      <w:tr w:rsidR="00F1030B" w14:paraId="585F57BD" w14:textId="77777777" w:rsidTr="00F1030B">
        <w:tc>
          <w:tcPr>
            <w:tcW w:w="4815" w:type="dxa"/>
          </w:tcPr>
          <w:p w14:paraId="5054ECDA" w14:textId="4A216B86" w:rsidR="00F1030B" w:rsidRDefault="00F1030B" w:rsidP="00924F1A">
            <w:pPr>
              <w:pStyle w:val="ListParagraph"/>
              <w:numPr>
                <w:ilvl w:val="0"/>
                <w:numId w:val="7"/>
              </w:numPr>
            </w:pPr>
            <w:r>
              <w:t xml:space="preserve">All traffic </w:t>
            </w:r>
            <w:r w:rsidR="00924F1A">
              <w:t>destined</w:t>
            </w:r>
            <w:r>
              <w:t xml:space="preserve"> to the IAB node can use the same routing principles based on IAB node identifier in the adaptation layer header</w:t>
            </w:r>
          </w:p>
          <w:p w14:paraId="51018602" w14:textId="4D0B803E" w:rsidR="00F1030B" w:rsidRDefault="00F1030B" w:rsidP="00924F1A">
            <w:pPr>
              <w:pStyle w:val="ListParagraph"/>
              <w:numPr>
                <w:ilvl w:val="0"/>
                <w:numId w:val="7"/>
              </w:numPr>
            </w:pPr>
            <w:r>
              <w:t xml:space="preserve">Logical channel space is not </w:t>
            </w:r>
            <w:r w:rsidR="00924F1A">
              <w:t>decreased due</w:t>
            </w:r>
            <w:r>
              <w:t xml:space="preserve"> to sepa</w:t>
            </w:r>
            <w:r w:rsidR="00924F1A">
              <w:t>ration of</w:t>
            </w:r>
            <w:r>
              <w:t xml:space="preserve"> traffic terminated in </w:t>
            </w:r>
            <w:r w:rsidR="00924F1A">
              <w:t xml:space="preserve">or originating from </w:t>
            </w:r>
            <w:r>
              <w:t>the IAB node</w:t>
            </w:r>
          </w:p>
          <w:p w14:paraId="4D43AC74" w14:textId="171E7AB8" w:rsidR="00924F1A" w:rsidRDefault="00924F1A" w:rsidP="00924F1A">
            <w:pPr>
              <w:pStyle w:val="ListParagraph"/>
              <w:numPr>
                <w:ilvl w:val="0"/>
                <w:numId w:val="7"/>
              </w:numPr>
            </w:pPr>
            <w:r>
              <w:t>Same processing rules are used for all the packets arriving to the MT part of the IAB node (both terminated in IAB node and the ones destined for Access UEs or next hop IAB node)</w:t>
            </w:r>
          </w:p>
          <w:p w14:paraId="3164AACC" w14:textId="22706626" w:rsidR="00F1030B" w:rsidRDefault="00F1030B" w:rsidP="00924F1A">
            <w:pPr>
              <w:pStyle w:val="ListParagraph"/>
              <w:numPr>
                <w:ilvl w:val="0"/>
                <w:numId w:val="7"/>
              </w:numPr>
            </w:pPr>
            <w:r>
              <w:t xml:space="preserve">More overhead on the last hop </w:t>
            </w:r>
            <w:r w:rsidR="00924F1A">
              <w:t>due to adaptation layer existence for traffic generated by or terminated in the IAB node</w:t>
            </w:r>
          </w:p>
        </w:tc>
        <w:tc>
          <w:tcPr>
            <w:tcW w:w="4816" w:type="dxa"/>
          </w:tcPr>
          <w:p w14:paraId="33FE0C7A" w14:textId="50739887" w:rsidR="00F1030B" w:rsidRDefault="00F1030B" w:rsidP="00924F1A">
            <w:pPr>
              <w:pStyle w:val="ListParagraph"/>
              <w:numPr>
                <w:ilvl w:val="0"/>
                <w:numId w:val="6"/>
              </w:numPr>
            </w:pPr>
            <w:r>
              <w:t xml:space="preserve">Traffic terminated in the IAB node needs to be </w:t>
            </w:r>
            <w:r w:rsidR="00924F1A">
              <w:t>routed</w:t>
            </w:r>
            <w:r>
              <w:t xml:space="preserve"> differently compared to traffic, which is to be relayed to the Access UEs connected to this IAB node</w:t>
            </w:r>
          </w:p>
          <w:p w14:paraId="50FCA8F5" w14:textId="0756A5BC" w:rsidR="00F1030B" w:rsidRDefault="00F1030B" w:rsidP="00924F1A">
            <w:pPr>
              <w:pStyle w:val="ListParagraph"/>
              <w:numPr>
                <w:ilvl w:val="0"/>
                <w:numId w:val="6"/>
              </w:numPr>
            </w:pPr>
            <w:r>
              <w:t>Separate logical channel needs to be assigned for traffic terminated in the IAB node, which reduces the number of logical channels available for QoS differentiation</w:t>
            </w:r>
          </w:p>
          <w:p w14:paraId="61B0B9AF" w14:textId="2CE6B21D" w:rsidR="00924F1A" w:rsidRDefault="00924F1A" w:rsidP="00924F1A">
            <w:pPr>
              <w:pStyle w:val="ListParagraph"/>
              <w:numPr>
                <w:ilvl w:val="0"/>
                <w:numId w:val="6"/>
              </w:numPr>
            </w:pPr>
            <w:r>
              <w:t>Different processing rules are used for all the packets arriving to the MT part of the IAB node (both terminated in IAB node and the ones destined for Access UEs or next hop IAB node)</w:t>
            </w:r>
          </w:p>
          <w:p w14:paraId="7DF919CA" w14:textId="4DA822DF" w:rsidR="00F1030B" w:rsidRDefault="00F1030B" w:rsidP="00924F1A">
            <w:pPr>
              <w:pStyle w:val="ListParagraph"/>
              <w:numPr>
                <w:ilvl w:val="0"/>
                <w:numId w:val="6"/>
              </w:numPr>
            </w:pPr>
            <w:r>
              <w:t>Reduced overhead on the last hop</w:t>
            </w:r>
          </w:p>
        </w:tc>
      </w:tr>
    </w:tbl>
    <w:p w14:paraId="1E959ED9" w14:textId="77777777" w:rsidR="00F1030B" w:rsidRPr="00F1030B" w:rsidRDefault="00F1030B" w:rsidP="00F12D9A"/>
    <w:p w14:paraId="06494322" w14:textId="36F6DED0" w:rsidR="00CD4C7B" w:rsidRDefault="00924F1A" w:rsidP="00A51E68">
      <w:r w:rsidRPr="00A51E68">
        <w:t xml:space="preserve">It can be seen that the advantage of omitting adaptation layer is reduced overhead of the traffic terminated or originating in the IAB node. However, it comes at the expense of complications </w:t>
      </w:r>
      <w:r w:rsidR="00A51E68">
        <w:t>in terms of packet processing and routing by the IAB node as well as reduced logical channel ID space, which limits flexibility in terms of QoS differentiation. Since the number of packets terminated/originating in the IAB nodes is expected to be very small compared to the one related to Access UEs, we think the gains of overhead reduction will be negligible, so in order to avoid issues brought by omitting adaptation layer for traffic terminated/originating in IAB nodes, we propose the following:</w:t>
      </w:r>
    </w:p>
    <w:p w14:paraId="37CEA628" w14:textId="70BE0327" w:rsidR="00A51E68" w:rsidRPr="00A51E68" w:rsidRDefault="00A51E68" w:rsidP="00A51E68">
      <w:pPr>
        <w:rPr>
          <w:b/>
        </w:rPr>
      </w:pPr>
      <w:r>
        <w:rPr>
          <w:b/>
        </w:rPr>
        <w:t>Proposal 1: Adaptation layer is always present for all the traffic exchanged between IAB nodes, i.e. for both traffic of Access UEs as well as for traffic terminated and originating in IAB node.</w:t>
      </w:r>
    </w:p>
    <w:p w14:paraId="43A12B72" w14:textId="40074426" w:rsidR="00CD4C7B" w:rsidRPr="00A51E68" w:rsidRDefault="00CD4C7B" w:rsidP="00CD4C7B">
      <w:pPr>
        <w:pStyle w:val="Heading1"/>
      </w:pPr>
      <w:r w:rsidRPr="00A51E68">
        <w:lastRenderedPageBreak/>
        <w:t>4</w:t>
      </w:r>
      <w:r w:rsidRPr="00A51E68">
        <w:tab/>
      </w:r>
      <w:r w:rsidR="002C322C" w:rsidRPr="00A51E68">
        <w:t>Summary</w:t>
      </w:r>
    </w:p>
    <w:p w14:paraId="190C81D1" w14:textId="296F446E" w:rsidR="00CD4C7B" w:rsidRDefault="00512BFF" w:rsidP="00CD4C7B">
      <w:r>
        <w:t>In this paper we analysed pros and cons of having adaptation layer always included in the serving IAB node and based on the discussion, the following is proposed:</w:t>
      </w:r>
    </w:p>
    <w:p w14:paraId="0D1219E2" w14:textId="77777777" w:rsidR="00512BFF" w:rsidRPr="00A51E68" w:rsidRDefault="00512BFF" w:rsidP="00512BFF">
      <w:pPr>
        <w:rPr>
          <w:b/>
        </w:rPr>
      </w:pPr>
      <w:r>
        <w:rPr>
          <w:b/>
        </w:rPr>
        <w:t>Proposal 1: Adaptation layer is always present for all the traffic exchanged between IAB nodes, i.e. for both traffic of Access UEs as well as for traffic terminated and originating in IAB node.</w:t>
      </w:r>
    </w:p>
    <w:p w14:paraId="0FDCFAC2" w14:textId="77777777" w:rsidR="00CD4C7B" w:rsidRPr="006E13D1" w:rsidRDefault="00CD4C7B" w:rsidP="00CD4C7B">
      <w:pPr>
        <w:pStyle w:val="Heading1"/>
      </w:pPr>
      <w:r w:rsidRPr="006E13D1">
        <w:t>References</w:t>
      </w:r>
    </w:p>
    <w:p w14:paraId="5524F183" w14:textId="63186741" w:rsidR="00CD4C7B" w:rsidRPr="006E13D1" w:rsidRDefault="00512BFF" w:rsidP="00512BFF">
      <w:pPr>
        <w:numPr>
          <w:ilvl w:val="0"/>
          <w:numId w:val="4"/>
        </w:numPr>
        <w:overflowPunct w:val="0"/>
        <w:autoSpaceDE w:val="0"/>
        <w:autoSpaceDN w:val="0"/>
        <w:adjustRightInd w:val="0"/>
        <w:textAlignment w:val="baseline"/>
      </w:pPr>
      <w:r w:rsidRPr="00512BFF">
        <w:t>R2-1809055</w:t>
      </w:r>
      <w:r>
        <w:t xml:space="preserve"> </w:t>
      </w:r>
      <w:r w:rsidRPr="00512BFF">
        <w:rPr>
          <w:i/>
        </w:rPr>
        <w:t>CP issues for architecture group 1</w:t>
      </w:r>
      <w:r>
        <w:t xml:space="preserve"> Qualcomm</w:t>
      </w:r>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D1B04" w14:textId="77777777" w:rsidR="006E4D31" w:rsidRDefault="006E4D31">
      <w:r>
        <w:separator/>
      </w:r>
    </w:p>
  </w:endnote>
  <w:endnote w:type="continuationSeparator" w:id="0">
    <w:p w14:paraId="79403278" w14:textId="77777777" w:rsidR="006E4D31" w:rsidRDefault="006E4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AA99A" w14:textId="77777777" w:rsidR="006E4D31" w:rsidRDefault="006E4D31">
      <w:r>
        <w:separator/>
      </w:r>
    </w:p>
  </w:footnote>
  <w:footnote w:type="continuationSeparator" w:id="0">
    <w:p w14:paraId="39AAA90C" w14:textId="77777777" w:rsidR="006E4D31" w:rsidRDefault="006E4D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4B5E99"/>
    <w:multiLevelType w:val="hybridMultilevel"/>
    <w:tmpl w:val="A92EBCC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EA209A9"/>
    <w:multiLevelType w:val="hybridMultilevel"/>
    <w:tmpl w:val="B45E156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3461B78"/>
    <w:multiLevelType w:val="hybridMultilevel"/>
    <w:tmpl w:val="80CC7722"/>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0D4"/>
    <w:rsid w:val="00033397"/>
    <w:rsid w:val="00040095"/>
    <w:rsid w:val="00072008"/>
    <w:rsid w:val="00080512"/>
    <w:rsid w:val="00090468"/>
    <w:rsid w:val="00090ADB"/>
    <w:rsid w:val="000A6076"/>
    <w:rsid w:val="000B7BCF"/>
    <w:rsid w:val="000C522B"/>
    <w:rsid w:val="000D58AB"/>
    <w:rsid w:val="00112F1A"/>
    <w:rsid w:val="00145075"/>
    <w:rsid w:val="00161A0C"/>
    <w:rsid w:val="001741A0"/>
    <w:rsid w:val="00175FA0"/>
    <w:rsid w:val="00194CD0"/>
    <w:rsid w:val="001B49C9"/>
    <w:rsid w:val="001C4F79"/>
    <w:rsid w:val="001F168B"/>
    <w:rsid w:val="001F6739"/>
    <w:rsid w:val="001F7831"/>
    <w:rsid w:val="00204045"/>
    <w:rsid w:val="0020712B"/>
    <w:rsid w:val="0022606D"/>
    <w:rsid w:val="00231728"/>
    <w:rsid w:val="002610D8"/>
    <w:rsid w:val="002747EC"/>
    <w:rsid w:val="002855BF"/>
    <w:rsid w:val="002C322C"/>
    <w:rsid w:val="002F0D22"/>
    <w:rsid w:val="003172DC"/>
    <w:rsid w:val="00325AE3"/>
    <w:rsid w:val="00326069"/>
    <w:rsid w:val="0035462D"/>
    <w:rsid w:val="00364B41"/>
    <w:rsid w:val="00364FAE"/>
    <w:rsid w:val="003A41EF"/>
    <w:rsid w:val="003B40AD"/>
    <w:rsid w:val="003C4E37"/>
    <w:rsid w:val="003C6855"/>
    <w:rsid w:val="003E16BE"/>
    <w:rsid w:val="003F4E28"/>
    <w:rsid w:val="004006E8"/>
    <w:rsid w:val="00401855"/>
    <w:rsid w:val="00425385"/>
    <w:rsid w:val="00477455"/>
    <w:rsid w:val="004A1F7B"/>
    <w:rsid w:val="004C44D2"/>
    <w:rsid w:val="004D3578"/>
    <w:rsid w:val="004D380D"/>
    <w:rsid w:val="004E213A"/>
    <w:rsid w:val="00503171"/>
    <w:rsid w:val="00506C28"/>
    <w:rsid w:val="00512BFF"/>
    <w:rsid w:val="00534DA0"/>
    <w:rsid w:val="00543E6C"/>
    <w:rsid w:val="00565087"/>
    <w:rsid w:val="0056573F"/>
    <w:rsid w:val="00585D36"/>
    <w:rsid w:val="005E0ED7"/>
    <w:rsid w:val="00611566"/>
    <w:rsid w:val="00646D99"/>
    <w:rsid w:val="00656910"/>
    <w:rsid w:val="00681424"/>
    <w:rsid w:val="006A0BAE"/>
    <w:rsid w:val="006A3699"/>
    <w:rsid w:val="006C66D8"/>
    <w:rsid w:val="006D1E24"/>
    <w:rsid w:val="006E1417"/>
    <w:rsid w:val="006E4D31"/>
    <w:rsid w:val="006F6A2C"/>
    <w:rsid w:val="00710201"/>
    <w:rsid w:val="007342B5"/>
    <w:rsid w:val="00734A5B"/>
    <w:rsid w:val="00741885"/>
    <w:rsid w:val="00744E76"/>
    <w:rsid w:val="00757D40"/>
    <w:rsid w:val="00781F0F"/>
    <w:rsid w:val="0078727C"/>
    <w:rsid w:val="0079049D"/>
    <w:rsid w:val="00793DC5"/>
    <w:rsid w:val="007B18D8"/>
    <w:rsid w:val="007C095F"/>
    <w:rsid w:val="008028A4"/>
    <w:rsid w:val="00803643"/>
    <w:rsid w:val="008040A2"/>
    <w:rsid w:val="00813245"/>
    <w:rsid w:val="00837137"/>
    <w:rsid w:val="008477DF"/>
    <w:rsid w:val="008667DB"/>
    <w:rsid w:val="008768CA"/>
    <w:rsid w:val="00877EF9"/>
    <w:rsid w:val="00880559"/>
    <w:rsid w:val="008B5306"/>
    <w:rsid w:val="008D2E4D"/>
    <w:rsid w:val="0090271F"/>
    <w:rsid w:val="00902DB9"/>
    <w:rsid w:val="0090466A"/>
    <w:rsid w:val="009073D7"/>
    <w:rsid w:val="00924F1A"/>
    <w:rsid w:val="00936071"/>
    <w:rsid w:val="00940212"/>
    <w:rsid w:val="00942EC2"/>
    <w:rsid w:val="00961B32"/>
    <w:rsid w:val="00970DB3"/>
    <w:rsid w:val="00974BB0"/>
    <w:rsid w:val="0098282D"/>
    <w:rsid w:val="009A0AF3"/>
    <w:rsid w:val="009B07CD"/>
    <w:rsid w:val="009C19E9"/>
    <w:rsid w:val="009D74A6"/>
    <w:rsid w:val="00A03FFF"/>
    <w:rsid w:val="00A10F02"/>
    <w:rsid w:val="00A204CA"/>
    <w:rsid w:val="00A2106F"/>
    <w:rsid w:val="00A51E68"/>
    <w:rsid w:val="00A53724"/>
    <w:rsid w:val="00A82346"/>
    <w:rsid w:val="00A9671C"/>
    <w:rsid w:val="00AA1553"/>
    <w:rsid w:val="00AC1B81"/>
    <w:rsid w:val="00B05962"/>
    <w:rsid w:val="00B15449"/>
    <w:rsid w:val="00B27303"/>
    <w:rsid w:val="00B47FD1"/>
    <w:rsid w:val="00B516BB"/>
    <w:rsid w:val="00B95A62"/>
    <w:rsid w:val="00BA3C35"/>
    <w:rsid w:val="00BC3555"/>
    <w:rsid w:val="00BF2D15"/>
    <w:rsid w:val="00C12B51"/>
    <w:rsid w:val="00C24650"/>
    <w:rsid w:val="00C33079"/>
    <w:rsid w:val="00C5011A"/>
    <w:rsid w:val="00C83A13"/>
    <w:rsid w:val="00C9068C"/>
    <w:rsid w:val="00C92967"/>
    <w:rsid w:val="00CA3D0C"/>
    <w:rsid w:val="00CA654B"/>
    <w:rsid w:val="00CC0689"/>
    <w:rsid w:val="00CD4C7B"/>
    <w:rsid w:val="00D017A5"/>
    <w:rsid w:val="00D33BE3"/>
    <w:rsid w:val="00D365DA"/>
    <w:rsid w:val="00D3792D"/>
    <w:rsid w:val="00D55E47"/>
    <w:rsid w:val="00D62E19"/>
    <w:rsid w:val="00D67CD1"/>
    <w:rsid w:val="00D738D6"/>
    <w:rsid w:val="00D80795"/>
    <w:rsid w:val="00D854BE"/>
    <w:rsid w:val="00D87E00"/>
    <w:rsid w:val="00D9134D"/>
    <w:rsid w:val="00D96D11"/>
    <w:rsid w:val="00D97046"/>
    <w:rsid w:val="00DA7A03"/>
    <w:rsid w:val="00DB0DB8"/>
    <w:rsid w:val="00DB1818"/>
    <w:rsid w:val="00DB2320"/>
    <w:rsid w:val="00DC309B"/>
    <w:rsid w:val="00DC4DA2"/>
    <w:rsid w:val="00E471CF"/>
    <w:rsid w:val="00E62835"/>
    <w:rsid w:val="00E66D71"/>
    <w:rsid w:val="00E77645"/>
    <w:rsid w:val="00E83697"/>
    <w:rsid w:val="00EC4A25"/>
    <w:rsid w:val="00EE24FB"/>
    <w:rsid w:val="00EF7D30"/>
    <w:rsid w:val="00F025A2"/>
    <w:rsid w:val="00F07388"/>
    <w:rsid w:val="00F07DBF"/>
    <w:rsid w:val="00F1030B"/>
    <w:rsid w:val="00F12D9A"/>
    <w:rsid w:val="00F2026E"/>
    <w:rsid w:val="00F2210A"/>
    <w:rsid w:val="00F37743"/>
    <w:rsid w:val="00F54A3D"/>
    <w:rsid w:val="00F54CB0"/>
    <w:rsid w:val="00F653B8"/>
    <w:rsid w:val="00F67DCB"/>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uiPriority w:val="39"/>
    <w:rsid w:val="00A210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72008"/>
    <w:rPr>
      <w:lang w:eastAsia="en-US"/>
    </w:rPr>
  </w:style>
  <w:style w:type="character" w:styleId="CommentReference">
    <w:name w:val="annotation reference"/>
    <w:basedOn w:val="DefaultParagraphFont"/>
    <w:rsid w:val="00EF7D30"/>
    <w:rPr>
      <w:sz w:val="16"/>
      <w:szCs w:val="16"/>
    </w:rPr>
  </w:style>
  <w:style w:type="paragraph" w:styleId="CommentText">
    <w:name w:val="annotation text"/>
    <w:basedOn w:val="Normal"/>
    <w:link w:val="CommentTextChar"/>
    <w:rsid w:val="00EF7D30"/>
  </w:style>
  <w:style w:type="character" w:customStyle="1" w:styleId="CommentTextChar">
    <w:name w:val="Comment Text Char"/>
    <w:basedOn w:val="DefaultParagraphFont"/>
    <w:link w:val="CommentText"/>
    <w:rsid w:val="00EF7D30"/>
    <w:rPr>
      <w:lang w:eastAsia="en-US"/>
    </w:rPr>
  </w:style>
  <w:style w:type="paragraph" w:styleId="CommentSubject">
    <w:name w:val="annotation subject"/>
    <w:basedOn w:val="CommentText"/>
    <w:next w:val="CommentText"/>
    <w:link w:val="CommentSubjectChar"/>
    <w:rsid w:val="00EF7D30"/>
    <w:rPr>
      <w:b/>
      <w:bCs/>
    </w:rPr>
  </w:style>
  <w:style w:type="character" w:customStyle="1" w:styleId="CommentSubjectChar">
    <w:name w:val="Comment Subject Char"/>
    <w:basedOn w:val="CommentTextChar"/>
    <w:link w:val="CommentSubject"/>
    <w:rsid w:val="00EF7D30"/>
    <w:rPr>
      <w:b/>
      <w:bCs/>
      <w:lang w:eastAsia="en-US"/>
    </w:rPr>
  </w:style>
  <w:style w:type="paragraph" w:customStyle="1" w:styleId="paragraph">
    <w:name w:val="paragraph"/>
    <w:basedOn w:val="Normal"/>
    <w:qFormat/>
    <w:rsid w:val="000A6076"/>
    <w:pPr>
      <w:spacing w:before="100" w:beforeAutospacing="1" w:after="100" w:afterAutospacing="1"/>
    </w:pPr>
    <w:rPr>
      <w:rFonts w:eastAsiaTheme="minorEastAsia"/>
      <w:sz w:val="24"/>
      <w:szCs w:val="24"/>
      <w:lang w:val="en-US" w:eastAsia="zh-CN"/>
    </w:rPr>
  </w:style>
  <w:style w:type="character" w:customStyle="1" w:styleId="eop">
    <w:name w:val="eop"/>
    <w:basedOn w:val="DefaultParagraphFont"/>
    <w:qFormat/>
    <w:rsid w:val="000A6076"/>
  </w:style>
  <w:style w:type="paragraph" w:styleId="ListParagraph">
    <w:name w:val="List Paragraph"/>
    <w:basedOn w:val="Normal"/>
    <w:uiPriority w:val="34"/>
    <w:qFormat/>
    <w:rsid w:val="00F103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5AIRPNAIUNRU-859666464-2256</_dlc_DocId>
    <_dlc_DocIdUrl xmlns="71c5aaf6-e6ce-465b-b873-5148d2a4c105">
      <Url>https://nokia.sharepoint.com/sites/c5g/e2earch/_layouts/15/DocIdRedir.aspx?ID=5AIRPNAIUNRU-859666464-2256</Url>
      <Description>5AIRPNAIUNRU-859666464-2256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C7D4DE-1C32-4719-B816-6FC9B2EA81A3}">
  <ds:schemaRefs>
    <ds:schemaRef ds:uri="http://purl.org/dc/elements/1.1/"/>
    <ds:schemaRef ds:uri="http://schemas.openxmlformats.org/package/2006/metadata/core-properties"/>
    <ds:schemaRef ds:uri="http://schemas.microsoft.com/office/infopath/2007/PartnerControls"/>
    <ds:schemaRef ds:uri="http://purl.org/dc/dcmitype/"/>
    <ds:schemaRef ds:uri="http://www.w3.org/XML/1998/namespace"/>
    <ds:schemaRef ds:uri="http://purl.org/dc/terms/"/>
    <ds:schemaRef ds:uri="http://schemas.microsoft.com/office/2006/documentManagement/types"/>
    <ds:schemaRef ds:uri="3b34c8f0-1ef5-4d1e-bb66-517ce7fe7356"/>
    <ds:schemaRef ds:uri="http://schemas.microsoft.com/office/2006/metadata/properties"/>
    <ds:schemaRef ds:uri="83f22d2f-d16e-4be6-ad4f-29fa0b067c3c"/>
    <ds:schemaRef ds:uri="a3840f4f-04be-43d1-b2ef-6ff1382503c7"/>
    <ds:schemaRef ds:uri="71c5aaf6-e6ce-465b-b873-5148d2a4c105"/>
  </ds:schemaRefs>
</ds:datastoreItem>
</file>

<file path=customXml/itemProps2.xml><?xml version="1.0" encoding="utf-8"?>
<ds:datastoreItem xmlns:ds="http://schemas.openxmlformats.org/officeDocument/2006/customXml" ds:itemID="{AF8783BB-D50D-48BD-919E-CFB9670610AA}">
  <ds:schemaRefs>
    <ds:schemaRef ds:uri="http://schemas.microsoft.com/sharepoint/v3/contenttype/forms"/>
  </ds:schemaRefs>
</ds:datastoreItem>
</file>

<file path=customXml/itemProps3.xml><?xml version="1.0" encoding="utf-8"?>
<ds:datastoreItem xmlns:ds="http://schemas.openxmlformats.org/officeDocument/2006/customXml" ds:itemID="{65142084-F2EA-426B-A589-0336AFBF95BE}">
  <ds:schemaRefs>
    <ds:schemaRef ds:uri="http://schemas.microsoft.com/sharepoint/events"/>
  </ds:schemaRefs>
</ds:datastoreItem>
</file>

<file path=customXml/itemProps4.xml><?xml version="1.0" encoding="utf-8"?>
<ds:datastoreItem xmlns:ds="http://schemas.openxmlformats.org/officeDocument/2006/customXml" ds:itemID="{025C6DCD-70DA-41F8-A095-4E7C5EC1EA8F}">
  <ds:schemaRefs>
    <ds:schemaRef ds:uri="Microsoft.SharePoint.Taxonomy.ContentTypeSync"/>
  </ds:schemaRefs>
</ds:datastoreItem>
</file>

<file path=customXml/itemProps5.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263</TotalTime>
  <Pages>2</Pages>
  <Words>604</Words>
  <Characters>2961</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3558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52</cp:revision>
  <dcterms:created xsi:type="dcterms:W3CDTF">2016-08-12T03:53:00Z</dcterms:created>
  <dcterms:modified xsi:type="dcterms:W3CDTF">2018-09-27T21:51:00Z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a676ff3c-881b-462c-b1c3-1846f3235dd2</vt:lpwstr>
  </property>
</Properties>
</file>